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1400" w:lineRule="exact"/>
        <w:jc w:val="center"/>
        <w:textAlignment w:val="auto"/>
        <w:outlineLvl w:val="9"/>
        <w:rPr>
          <w:rFonts w:hint="eastAsia" w:ascii="方正小标宋简体" w:hAnsi="宋体" w:eastAsia="方正小标宋简体" w:cs="方正小标宋简体"/>
          <w:bCs/>
          <w:sz w:val="44"/>
          <w:szCs w:val="44"/>
        </w:rPr>
      </w:pPr>
    </w:p>
    <w:p>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rFonts w:ascii="方正小标宋简体" w:hAnsi="宋体" w:eastAsia="方正小标宋简体" w:cs="方正小标宋简体"/>
          <w:bCs/>
          <w:sz w:val="44"/>
          <w:szCs w:val="44"/>
        </w:rPr>
      </w:pPr>
      <w:r>
        <w:rPr>
          <w:rFonts w:hint="eastAsia" w:ascii="方正小标宋简体" w:hAnsi="宋体" w:eastAsia="方正小标宋简体" w:cs="方正小标宋简体"/>
          <w:bCs/>
          <w:sz w:val="44"/>
          <w:szCs w:val="44"/>
        </w:rPr>
        <w:t>中共天水市委机构编制委员会办公室</w:t>
      </w:r>
    </w:p>
    <w:p>
      <w:pPr>
        <w:keepNext w:val="0"/>
        <w:keepLines w:val="0"/>
        <w:pageBreakBefore w:val="0"/>
        <w:widowControl w:val="0"/>
        <w:kinsoku/>
        <w:wordWrap/>
        <w:overflowPunct/>
        <w:topLinePunct w:val="0"/>
        <w:autoSpaceDE/>
        <w:autoSpaceDN/>
        <w:bidi w:val="0"/>
        <w:adjustRightInd/>
        <w:snapToGrid w:val="0"/>
        <w:spacing w:line="700" w:lineRule="exact"/>
        <w:jc w:val="center"/>
        <w:textAlignment w:val="auto"/>
        <w:rPr>
          <w:rFonts w:ascii="方正小标宋简体" w:hAnsi="宋体" w:eastAsia="方正小标宋简体" w:cs="方正小标宋简体"/>
          <w:sz w:val="44"/>
          <w:szCs w:val="44"/>
        </w:rPr>
      </w:pPr>
      <w:r>
        <w:rPr>
          <w:rFonts w:hint="eastAsia" w:ascii="方正小标宋简体" w:hAnsi="宋体" w:eastAsia="方正小标宋简体" w:cs="方正小标宋简体"/>
          <w:bCs/>
          <w:w w:val="95"/>
          <w:sz w:val="44"/>
          <w:szCs w:val="44"/>
        </w:rPr>
        <w:t>202</w:t>
      </w:r>
      <w:r>
        <w:rPr>
          <w:rFonts w:hint="default" w:ascii="方正小标宋简体" w:hAnsi="宋体" w:eastAsia="方正小标宋简体" w:cs="方正小标宋简体"/>
          <w:bCs/>
          <w:w w:val="95"/>
          <w:sz w:val="44"/>
          <w:szCs w:val="44"/>
          <w:lang w:eastAsia="zh-CN"/>
        </w:rPr>
        <w:t>3</w:t>
      </w:r>
      <w:r>
        <w:rPr>
          <w:rFonts w:hint="eastAsia" w:ascii="方正小标宋简体" w:hAnsi="宋体" w:eastAsia="方正小标宋简体" w:cs="方正小标宋简体"/>
          <w:bCs/>
          <w:w w:val="95"/>
          <w:sz w:val="44"/>
          <w:szCs w:val="44"/>
          <w:lang w:eastAsia="zh-CN"/>
        </w:rPr>
        <w:t>年度市级预算执行情况绩效自评</w:t>
      </w:r>
      <w:r>
        <w:rPr>
          <w:rFonts w:hint="eastAsia" w:ascii="方正小标宋简体" w:hAnsi="宋体" w:eastAsia="方正小标宋简体" w:cs="方正小标宋简体"/>
          <w:bCs/>
          <w:w w:val="95"/>
          <w:sz w:val="44"/>
          <w:szCs w:val="44"/>
        </w:rPr>
        <w:t>报告</w:t>
      </w:r>
    </w:p>
    <w:p>
      <w:pPr>
        <w:keepNext w:val="0"/>
        <w:keepLines w:val="0"/>
        <w:pageBreakBefore w:val="0"/>
        <w:widowControl w:val="0"/>
        <w:kinsoku/>
        <w:wordWrap/>
        <w:overflowPunct/>
        <w:topLinePunct w:val="0"/>
        <w:autoSpaceDE/>
        <w:autoSpaceDN/>
        <w:bidi w:val="0"/>
        <w:adjustRightInd/>
        <w:snapToGrid w:val="0"/>
        <w:spacing w:line="567" w:lineRule="exact"/>
        <w:textAlignment w:val="auto"/>
        <w:outlineLvl w:val="9"/>
        <w:rPr>
          <w:rFonts w:ascii="仿宋_GB2312" w:hAnsi="宋体" w:eastAsia="仿宋_GB2312" w:cs="仿宋_GB2312"/>
          <w:sz w:val="32"/>
          <w:szCs w:val="32"/>
        </w:rPr>
      </w:pPr>
    </w:p>
    <w:p>
      <w:pPr>
        <w:keepNext w:val="0"/>
        <w:keepLines w:val="0"/>
        <w:pageBreakBefore w:val="0"/>
        <w:kinsoku/>
        <w:wordWrap/>
        <w:overflowPunct/>
        <w:topLinePunct w:val="0"/>
        <w:autoSpaceDE/>
        <w:autoSpaceDN/>
        <w:bidi w:val="0"/>
        <w:snapToGrid w:val="0"/>
        <w:spacing w:line="576" w:lineRule="exact"/>
        <w:ind w:firstLine="640" w:firstLineChars="200"/>
        <w:textAlignment w:val="auto"/>
        <w:rPr>
          <w:rFonts w:hint="eastAsia" w:eastAsia="黑体"/>
          <w:sz w:val="32"/>
          <w:szCs w:val="32"/>
          <w:lang w:val="en-US" w:eastAsia="zh-CN"/>
        </w:rPr>
      </w:pPr>
      <w:r>
        <w:rPr>
          <w:rFonts w:hAnsi="黑体" w:eastAsia="黑体"/>
          <w:sz w:val="32"/>
          <w:szCs w:val="32"/>
        </w:rPr>
        <w:t>一、基本情况</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（一）部门主要职能</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中共天水市委机构编制委员会办公室是市委主管全市行政管理体制改革、机构改革和机构编制管理的职能机构，是市委工作机关，为正县级，归口市委组织部管理。中共天水市委机构编制委员会办公室是市委机构编制委员会的办事机构，承担市委机构编制委员会的日常工作。其主要职责是：</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firstLine="640" w:firstLineChars="200"/>
        <w:textAlignment w:val="auto"/>
        <w:rPr>
          <w:rFonts w:eastAsia="仿宋_GB2312"/>
          <w:sz w:val="32"/>
          <w:szCs w:val="32"/>
        </w:rPr>
      </w:pPr>
      <w:r>
        <w:rPr>
          <w:rFonts w:eastAsia="仿宋_GB2312"/>
          <w:sz w:val="32"/>
          <w:szCs w:val="32"/>
        </w:rPr>
        <w:t>贯彻执行党和国家关于行政管理体制改革、机构改革和机构编制管理的方针、政策和法规；负责拟订市委机构编制委员会工作规则、市委编办工作规则和规范性文件；指导、协调全市各级行政管理体制改革和机构改</w:t>
      </w:r>
      <w:bookmarkStart w:id="0" w:name="_GoBack"/>
      <w:bookmarkEnd w:id="0"/>
      <w:r>
        <w:rPr>
          <w:rFonts w:eastAsia="仿宋_GB2312"/>
          <w:sz w:val="32"/>
          <w:szCs w:val="32"/>
        </w:rPr>
        <w:t>革工作；拟订市级机构改革方案，审核各县区机构改革方案。</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负责统一管理全市各级党政机关，人大、政协机关，各民主党派和人民团体机关的机构设置、人员编制、人员结构比例和领导职数等机构编制工作；协调市级各部门及县区之间的权责划分。</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负责审核审批市直各部门的职能配置、机构设置和人员编制；审核和调整县区机构设置和人员编制总额；负责审核市政府派驻外地办事机构的机构编制；负责省委编委下达的各类专项编制的分配和管理工作。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拟订全市事业单位管理体制改革和机构改革方案；审核调整市委、市政府直属事业单位的机构设置和人员编制；审批调整市、县两级所属的副县级以下事业单位机构设置、人员编制和领导职数；指导、协调市县事业单位管理体制改革和机构编制管理。</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负责机构编制政策法规的解释、清理、汇编工作；承担、参与有关行政复议工作；负责行政管理体制改革、机构改革和机构编制管理的理论研究工作。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监督检查全市各级机关事业单位“三定”规定、机构改革以及机构编制政策法规的落实、执行情况；负责全市机构编制的法制建设，建立机构编制部门与相关部门协调配合约束机制；负责机构编制违纪违规行为的预防和查处；负责全市机构编制考评奖励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贯彻落实事业单位登记、社会信用代码管理方针政策、法律法规；负责市直机关、群众团体和事业单位登记管理和年度报告公示工作；负责市直机关、群众团体统一社会信用代码赋码工作；指导、协调、检查县区事业单位登记管理和统一社会信用代码赋码工作，开展事业单位法人治理结构、信用等级评定等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负责全市机构编制实名制管理工作；负责全市机构编制信息宣传和统计工作；负责全市机构编制干部队伍的教育培训工作；指导县区机构编制部门自身建设工作。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576" w:lineRule="exact"/>
        <w:ind w:left="0" w:leftChars="0" w:firstLine="640" w:firstLineChars="200"/>
        <w:textAlignment w:val="auto"/>
        <w:rPr>
          <w:rFonts w:eastAsia="仿宋_GB2312"/>
          <w:sz w:val="32"/>
          <w:szCs w:val="32"/>
        </w:rPr>
      </w:pPr>
      <w:r>
        <w:rPr>
          <w:rFonts w:eastAsia="仿宋_GB2312"/>
          <w:sz w:val="32"/>
          <w:szCs w:val="32"/>
        </w:rPr>
        <w:t>负责全市机构编制目标管理责任制考核、机构编制责任审计的组织实施工作。</w:t>
      </w:r>
    </w:p>
    <w:p>
      <w:pPr>
        <w:keepNext w:val="0"/>
        <w:keepLines w:val="0"/>
        <w:pageBreakBefore w:val="0"/>
        <w:widowControl w:val="0"/>
        <w:numPr>
          <w:ilvl w:val="0"/>
          <w:numId w:val="1"/>
        </w:numPr>
        <w:kinsoku/>
        <w:wordWrap/>
        <w:overflowPunct/>
        <w:topLinePunct w:val="0"/>
        <w:autoSpaceDE/>
        <w:autoSpaceDN/>
        <w:bidi w:val="0"/>
        <w:snapToGrid w:val="0"/>
        <w:spacing w:line="576" w:lineRule="exact"/>
        <w:ind w:left="0" w:leftChars="0" w:firstLine="624" w:firstLineChars="200"/>
        <w:textAlignment w:val="auto"/>
        <w:rPr>
          <w:rFonts w:eastAsia="仿宋_GB2312"/>
          <w:spacing w:val="4"/>
          <w:sz w:val="32"/>
          <w:szCs w:val="32"/>
        </w:rPr>
      </w:pPr>
      <w:r>
        <w:rPr>
          <w:rFonts w:eastAsia="仿宋_GB2312"/>
          <w:spacing w:val="4"/>
          <w:w w:val="95"/>
          <w:sz w:val="32"/>
          <w:szCs w:val="32"/>
        </w:rPr>
        <w:t>承办市委、市政府、市委编委和省委编办交办的其他任务。</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（二）机构设置</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中共天水市委机构编制委员会办公室为正县级党委机构，是一级预算单位，由本级组成。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内设综合科、法规科、机关科、事业一科、事业二科、县区科、督查科；下设正科级行政机构市事业单位登记管理局，市事业单位登记管理局加挂市党政群机关社会信用代码管理局牌子，科级</w:t>
      </w:r>
      <w:r>
        <w:rPr>
          <w:rFonts w:eastAsia="仿宋_GB2312"/>
          <w:spacing w:val="4"/>
          <w:sz w:val="32"/>
          <w:szCs w:val="32"/>
        </w:rPr>
        <w:t>建制；下属正科级财政全额拨款事业单位市机构编制电子政务中心。</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黑体"/>
          <w:sz w:val="32"/>
          <w:szCs w:val="32"/>
        </w:rPr>
      </w:pPr>
      <w:r>
        <w:rPr>
          <w:rFonts w:hAnsi="黑体" w:eastAsia="黑体"/>
          <w:sz w:val="32"/>
          <w:szCs w:val="32"/>
        </w:rPr>
        <w:t>二、绩效自评工作组织开展情况</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根据</w:t>
      </w:r>
      <w:r>
        <w:rPr>
          <w:rFonts w:hint="eastAsia" w:eastAsia="仿宋_GB2312"/>
          <w:sz w:val="32"/>
          <w:szCs w:val="32"/>
        </w:rPr>
        <w:t>《天水市财政局关于开展202</w:t>
      </w:r>
      <w:r>
        <w:rPr>
          <w:rFonts w:hint="default" w:eastAsia="仿宋_GB2312"/>
          <w:sz w:val="32"/>
          <w:szCs w:val="32"/>
        </w:rPr>
        <w:t>3</w:t>
      </w:r>
      <w:r>
        <w:rPr>
          <w:rFonts w:hint="eastAsia" w:eastAsia="仿宋_GB2312"/>
          <w:sz w:val="32"/>
          <w:szCs w:val="32"/>
        </w:rPr>
        <w:t>年度市级预算执行项目和部门整体支出绩效自评工作的通知》（</w:t>
      </w:r>
      <w:r>
        <w:rPr>
          <w:rFonts w:eastAsia="仿宋_GB2312"/>
          <w:sz w:val="32"/>
          <w:szCs w:val="32"/>
        </w:rPr>
        <w:t>天财绩</w:t>
      </w:r>
      <w:r>
        <w:rPr>
          <w:rFonts w:hint="eastAsia" w:ascii="仿宋_GB2312" w:eastAsia="仿宋_GB2312"/>
          <w:sz w:val="32"/>
          <w:szCs w:val="32"/>
        </w:rPr>
        <w:t>〔</w:t>
      </w:r>
      <w:r>
        <w:rPr>
          <w:rFonts w:eastAsia="仿宋_GB2312"/>
          <w:sz w:val="32"/>
          <w:szCs w:val="32"/>
        </w:rPr>
        <w:t>202</w:t>
      </w:r>
      <w:r>
        <w:rPr>
          <w:rFonts w:hint="default" w:eastAsia="仿宋_GB2312"/>
          <w:sz w:val="32"/>
          <w:szCs w:val="32"/>
          <w:lang w:eastAsia="zh-CN"/>
        </w:rPr>
        <w:t>4</w:t>
      </w:r>
      <w:r>
        <w:rPr>
          <w:rFonts w:hint="eastAsia" w:ascii="仿宋_GB2312" w:eastAsia="仿宋_GB2312"/>
          <w:sz w:val="32"/>
          <w:szCs w:val="32"/>
        </w:rPr>
        <w:t>〕</w:t>
      </w:r>
      <w:r>
        <w:rPr>
          <w:rFonts w:hint="default" w:ascii="仿宋_GB2312" w:eastAsia="仿宋_GB2312"/>
          <w:sz w:val="32"/>
          <w:szCs w:val="32"/>
          <w:lang w:eastAsia="zh-CN"/>
        </w:rPr>
        <w:t>6</w:t>
      </w:r>
      <w:r>
        <w:rPr>
          <w:rFonts w:eastAsia="仿宋_GB2312"/>
          <w:sz w:val="32"/>
          <w:szCs w:val="32"/>
        </w:rPr>
        <w:t>号</w:t>
      </w:r>
      <w:r>
        <w:rPr>
          <w:rFonts w:hint="eastAsia" w:eastAsia="仿宋_GB2312"/>
          <w:sz w:val="32"/>
          <w:szCs w:val="32"/>
        </w:rPr>
        <w:t>）</w:t>
      </w:r>
      <w:r>
        <w:rPr>
          <w:rFonts w:eastAsia="仿宋_GB2312"/>
          <w:sz w:val="32"/>
          <w:szCs w:val="32"/>
        </w:rPr>
        <w:t>要求，我办高度重视，精心组织，对绩效评价工作进行了安排部署，对</w:t>
      </w:r>
      <w:r>
        <w:rPr>
          <w:rFonts w:hint="default" w:eastAsia="仿宋_GB2312"/>
          <w:sz w:val="32"/>
          <w:szCs w:val="32"/>
        </w:rPr>
        <w:t>6</w:t>
      </w:r>
      <w:r>
        <w:rPr>
          <w:rFonts w:eastAsia="仿宋_GB2312"/>
          <w:sz w:val="32"/>
          <w:szCs w:val="32"/>
        </w:rPr>
        <w:t>个项目开展了绩效评价。</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楷体_GB2312"/>
          <w:sz w:val="32"/>
          <w:szCs w:val="32"/>
        </w:rPr>
        <w:t>（一）评价范围和目的。</w:t>
      </w:r>
      <w:r>
        <w:rPr>
          <w:rFonts w:eastAsia="仿宋_GB2312"/>
          <w:sz w:val="32"/>
          <w:szCs w:val="32"/>
        </w:rPr>
        <w:t>为加强项目支出管理，强化支出责任，提高资金使用效益，为以后年度预算资金分配提供有效支撑，特对</w:t>
      </w:r>
      <w:r>
        <w:rPr>
          <w:rFonts w:hint="default" w:eastAsia="仿宋_GB2312"/>
          <w:sz w:val="32"/>
          <w:szCs w:val="32"/>
        </w:rPr>
        <w:t>我</w:t>
      </w:r>
      <w:r>
        <w:rPr>
          <w:rFonts w:hint="eastAsia" w:eastAsia="仿宋_GB2312"/>
          <w:sz w:val="32"/>
          <w:szCs w:val="32"/>
        </w:rPr>
        <w:t>办</w:t>
      </w:r>
      <w:r>
        <w:rPr>
          <w:rFonts w:eastAsia="仿宋_GB2312"/>
          <w:sz w:val="32"/>
          <w:szCs w:val="32"/>
        </w:rPr>
        <w:t>“全市市直机关事业单位中文域名续费费用”、“电子编制证年度维护费”、“机构法人变更经费”、“物业服务费”“</w:t>
      </w:r>
      <w:r>
        <w:rPr>
          <w:rFonts w:hint="default" w:eastAsia="仿宋_GB2312"/>
          <w:sz w:val="32"/>
          <w:szCs w:val="32"/>
        </w:rPr>
        <w:t>2022年</w:t>
      </w:r>
      <w:r>
        <w:rPr>
          <w:rFonts w:eastAsia="仿宋_GB2312"/>
          <w:sz w:val="32"/>
          <w:szCs w:val="32"/>
        </w:rPr>
        <w:t>全市市直机关事业单位中文域名续费费用”、“</w:t>
      </w:r>
      <w:r>
        <w:rPr>
          <w:rFonts w:hint="default" w:eastAsia="仿宋_GB2312"/>
          <w:sz w:val="32"/>
          <w:szCs w:val="32"/>
        </w:rPr>
        <w:t>2022年</w:t>
      </w:r>
      <w:r>
        <w:rPr>
          <w:rFonts w:eastAsia="仿宋_GB2312"/>
          <w:sz w:val="32"/>
          <w:szCs w:val="32"/>
        </w:rPr>
        <w:t>电子编制证年度维护费”项目资金进行了自评，重点对项目实施以来的绩效情况开展评价。</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楷体_GB2312"/>
          <w:sz w:val="32"/>
          <w:szCs w:val="32"/>
        </w:rPr>
        <w:t>（二）评价方法。</w:t>
      </w:r>
      <w:r>
        <w:rPr>
          <w:rFonts w:eastAsia="仿宋_GB2312"/>
          <w:sz w:val="32"/>
          <w:szCs w:val="32"/>
        </w:rPr>
        <w:t>本着科学、规范、独立、客观、公正的原则，通过听取项目科室及负责具体项目的干部介绍项目进展情况、相关部门的财务检查结果等方式，来掌握项目的执行情况和经费使用情况，并按照评价指标、评价标准和评价规则等，对成本、产出、效益和满意度四个方面进行评价。</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黑体"/>
          <w:sz w:val="32"/>
          <w:szCs w:val="32"/>
        </w:rPr>
      </w:pPr>
      <w:r>
        <w:rPr>
          <w:rFonts w:hAnsi="黑体" w:eastAsia="黑体"/>
          <w:sz w:val="32"/>
          <w:szCs w:val="32"/>
        </w:rPr>
        <w:t>三、部门整体支出绩效自评情况分析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楷体_GB2312"/>
          <w:sz w:val="32"/>
          <w:szCs w:val="32"/>
        </w:rPr>
        <w:t>（一）部门决算情况</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202</w:t>
      </w:r>
      <w:r>
        <w:rPr>
          <w:rFonts w:hint="default" w:eastAsia="仿宋_GB2312"/>
          <w:sz w:val="32"/>
          <w:szCs w:val="32"/>
          <w:lang w:eastAsia="zh-CN"/>
        </w:rPr>
        <w:t>3</w:t>
      </w:r>
      <w:r>
        <w:rPr>
          <w:rFonts w:eastAsia="仿宋_GB2312"/>
          <w:sz w:val="32"/>
          <w:szCs w:val="32"/>
        </w:rPr>
        <w:t>年度总收入:</w:t>
      </w:r>
      <w:r>
        <w:rPr>
          <w:rFonts w:hint="default" w:eastAsia="仿宋_GB2312"/>
          <w:sz w:val="32"/>
          <w:szCs w:val="32"/>
          <w:lang w:eastAsia="zh-CN"/>
        </w:rPr>
        <w:t>636.75</w:t>
      </w:r>
      <w:r>
        <w:rPr>
          <w:rFonts w:hint="eastAsia" w:eastAsia="仿宋_GB2312"/>
          <w:sz w:val="32"/>
          <w:szCs w:val="32"/>
        </w:rPr>
        <w:t>万</w:t>
      </w:r>
      <w:r>
        <w:rPr>
          <w:rFonts w:eastAsia="仿宋_GB2312"/>
          <w:sz w:val="32"/>
          <w:szCs w:val="32"/>
        </w:rPr>
        <w:t>元(其中：财政拨款收入：</w:t>
      </w:r>
      <w:r>
        <w:rPr>
          <w:rFonts w:hint="default" w:eastAsia="仿宋_GB2312"/>
          <w:sz w:val="32"/>
          <w:szCs w:val="32"/>
          <w:lang w:eastAsia="zh-CN"/>
        </w:rPr>
        <w:t>636.75</w:t>
      </w:r>
      <w:r>
        <w:rPr>
          <w:rFonts w:hint="eastAsia" w:eastAsia="仿宋_GB2312"/>
          <w:sz w:val="32"/>
          <w:szCs w:val="32"/>
        </w:rPr>
        <w:t>万</w:t>
      </w:r>
      <w:r>
        <w:rPr>
          <w:rFonts w:eastAsia="仿宋_GB2312"/>
          <w:sz w:val="32"/>
          <w:szCs w:val="32"/>
        </w:rPr>
        <w:t>元)；总支出:</w:t>
      </w:r>
      <w:r>
        <w:rPr>
          <w:rFonts w:hint="default" w:eastAsia="仿宋_GB2312"/>
          <w:sz w:val="32"/>
          <w:szCs w:val="32"/>
          <w:lang w:eastAsia="zh-CN"/>
        </w:rPr>
        <w:t>639.75</w:t>
      </w:r>
      <w:r>
        <w:rPr>
          <w:rFonts w:hint="eastAsia" w:eastAsia="仿宋_GB2312"/>
          <w:sz w:val="32"/>
          <w:szCs w:val="32"/>
        </w:rPr>
        <w:t>万</w:t>
      </w:r>
      <w:r>
        <w:rPr>
          <w:rFonts w:eastAsia="仿宋_GB2312"/>
          <w:sz w:val="32"/>
          <w:szCs w:val="32"/>
        </w:rPr>
        <w:t>元;年末结转和结余：0元。</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仿宋_GB2312"/>
          <w:sz w:val="32"/>
          <w:szCs w:val="32"/>
        </w:rPr>
      </w:pPr>
      <w:r>
        <w:rPr>
          <w:rFonts w:ascii="Times New Roman" w:hAnsi="Times New Roman" w:eastAsia="楷体_GB2312"/>
          <w:sz w:val="32"/>
          <w:szCs w:val="32"/>
        </w:rPr>
        <w:t>（二）总体绩效目标完成情况分析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我办继续按照统筹兼顾、厉行节约、讲求绩效、收支平衡的原则编制部门预算，全年支出做到了按预算执行。围绕编办重点工作开展行政管理体制改革、机构编制管理，基本实现年度绩效指标，较好完成了年度工作目标。通过加强预算收支管理，不断建立健全内部管理制度，梳理内部管理流程，部门整体支出管理水平得到提升。根据部门整体支出绩效评价指标体系，我办2023年度评价得分为99.63分</w:t>
      </w:r>
      <w:r>
        <w:rPr>
          <w:rFonts w:hint="default" w:eastAsia="仿宋_GB2312" w:cs="Times New Roman"/>
          <w:sz w:val="32"/>
          <w:szCs w:val="32"/>
        </w:rPr>
        <w:t>，评价等级为“优”</w:t>
      </w:r>
      <w:r>
        <w:rPr>
          <w:rFonts w:hint="default" w:ascii="Times New Roman" w:hAnsi="Times New Roman" w:eastAsia="仿宋_GB2312" w:cs="Times New Roman"/>
          <w:sz w:val="32"/>
          <w:szCs w:val="32"/>
        </w:rPr>
        <w:t>。</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（三）各项指标完成情况分析</w:t>
      </w:r>
    </w:p>
    <w:p>
      <w:pPr>
        <w:keepNext w:val="0"/>
        <w:keepLines w:val="0"/>
        <w:pageBreakBefore w:val="0"/>
        <w:widowControl/>
        <w:kinsoku/>
        <w:wordWrap/>
        <w:overflowPunct/>
        <w:topLinePunct w:val="0"/>
        <w:autoSpaceDE/>
        <w:autoSpaceDN/>
        <w:bidi w:val="0"/>
        <w:adjustRightInd/>
        <w:spacing w:line="576" w:lineRule="exact"/>
        <w:ind w:firstLine="640" w:firstLineChars="200"/>
        <w:textAlignment w:val="auto"/>
        <w:rPr>
          <w:rFonts w:hint="default" w:ascii="Times New Roman" w:hAnsi="Times New Roman" w:eastAsia="仿宋_GB2312"/>
          <w:color w:val="FF0000"/>
          <w:kern w:val="0"/>
          <w:sz w:val="32"/>
          <w:szCs w:val="32"/>
          <w:lang w:bidi="ar"/>
        </w:rPr>
      </w:pPr>
      <w:r>
        <w:rPr>
          <w:rFonts w:eastAsia="仿宋_GB2312"/>
          <w:sz w:val="32"/>
          <w:szCs w:val="32"/>
        </w:rPr>
        <w:t>1. 部门管理指标分析。</w:t>
      </w:r>
      <w:r>
        <w:rPr>
          <w:rFonts w:hint="default" w:eastAsia="仿宋_GB2312"/>
          <w:color w:val="auto"/>
          <w:sz w:val="32"/>
          <w:szCs w:val="32"/>
        </w:rPr>
        <w:t>2023年</w:t>
      </w:r>
      <w:r>
        <w:rPr>
          <w:rFonts w:eastAsia="仿宋_GB2312"/>
          <w:color w:val="auto"/>
          <w:kern w:val="0"/>
          <w:sz w:val="32"/>
          <w:szCs w:val="32"/>
          <w:lang w:bidi="ar"/>
        </w:rPr>
        <w:t>预算执行率</w:t>
      </w:r>
      <w:r>
        <w:rPr>
          <w:rFonts w:hint="default" w:eastAsia="仿宋_GB2312"/>
          <w:color w:val="auto"/>
          <w:kern w:val="0"/>
          <w:sz w:val="32"/>
          <w:szCs w:val="32"/>
          <w:lang w:bidi="ar"/>
        </w:rPr>
        <w:t>100％，</w:t>
      </w:r>
      <w:r>
        <w:rPr>
          <w:rFonts w:ascii="Times New Roman" w:hAnsi="Times New Roman" w:eastAsia="仿宋_GB2312"/>
          <w:color w:val="auto"/>
          <w:kern w:val="0"/>
          <w:sz w:val="32"/>
          <w:szCs w:val="32"/>
          <w:lang w:bidi="ar"/>
        </w:rPr>
        <w:t>年末</w:t>
      </w:r>
      <w:r>
        <w:rPr>
          <w:rFonts w:hint="eastAsia" w:ascii="Times New Roman" w:hAnsi="Times New Roman" w:eastAsia="仿宋_GB2312"/>
          <w:color w:val="auto"/>
          <w:kern w:val="0"/>
          <w:sz w:val="32"/>
          <w:szCs w:val="32"/>
          <w:lang w:bidi="ar"/>
        </w:rPr>
        <w:t>无</w:t>
      </w:r>
      <w:r>
        <w:rPr>
          <w:rFonts w:ascii="Times New Roman" w:hAnsi="Times New Roman" w:eastAsia="仿宋_GB2312"/>
          <w:color w:val="auto"/>
          <w:kern w:val="0"/>
          <w:sz w:val="32"/>
          <w:szCs w:val="32"/>
          <w:lang w:bidi="ar"/>
        </w:rPr>
        <w:t>结转结余</w:t>
      </w:r>
      <w:r>
        <w:rPr>
          <w:rFonts w:eastAsia="仿宋_GB2312"/>
          <w:color w:val="auto"/>
          <w:kern w:val="0"/>
          <w:sz w:val="32"/>
          <w:szCs w:val="32"/>
          <w:lang w:bidi="ar"/>
        </w:rPr>
        <w:t>；财务管理制度健全，资金使用规范；严格执行政府采购程序，进一步规范政府采购流程。</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履职效果指标分析。完成了各项社会效益指标、可持续影响指标等。</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满意度指标分析。各项资金使用满意度较高。</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hAnsi="黑体" w:eastAsia="黑体"/>
          <w:sz w:val="32"/>
          <w:szCs w:val="32"/>
        </w:rPr>
        <w:t>四、部门预算项目支出绩效自评情况分析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202</w:t>
      </w:r>
      <w:r>
        <w:rPr>
          <w:rFonts w:hint="default" w:eastAsia="仿宋_GB2312"/>
          <w:sz w:val="32"/>
          <w:szCs w:val="32"/>
          <w:lang w:eastAsia="zh-CN"/>
        </w:rPr>
        <w:t>3</w:t>
      </w:r>
      <w:r>
        <w:rPr>
          <w:rFonts w:eastAsia="仿宋_GB2312"/>
          <w:sz w:val="32"/>
          <w:szCs w:val="32"/>
        </w:rPr>
        <w:t>年，本部门预算支出项目</w:t>
      </w:r>
      <w:r>
        <w:rPr>
          <w:rFonts w:hint="default" w:eastAsia="仿宋_GB2312"/>
          <w:sz w:val="32"/>
          <w:szCs w:val="32"/>
        </w:rPr>
        <w:t>6</w:t>
      </w:r>
      <w:r>
        <w:rPr>
          <w:rFonts w:eastAsia="仿宋_GB2312"/>
          <w:sz w:val="32"/>
          <w:szCs w:val="32"/>
        </w:rPr>
        <w:t>个，当年财政拨款</w:t>
      </w:r>
      <w:r>
        <w:rPr>
          <w:rFonts w:hint="default" w:eastAsia="仿宋_GB2312"/>
          <w:sz w:val="32"/>
          <w:szCs w:val="32"/>
        </w:rPr>
        <w:t>29.7</w:t>
      </w:r>
      <w:r>
        <w:rPr>
          <w:rFonts w:eastAsia="仿宋_GB2312"/>
          <w:sz w:val="32"/>
          <w:szCs w:val="32"/>
        </w:rPr>
        <w:t>万元，全年支出</w:t>
      </w:r>
      <w:r>
        <w:rPr>
          <w:rFonts w:hint="default" w:eastAsia="仿宋_GB2312"/>
          <w:sz w:val="32"/>
          <w:szCs w:val="32"/>
        </w:rPr>
        <w:t>29.7</w:t>
      </w:r>
      <w:r>
        <w:rPr>
          <w:rFonts w:eastAsia="仿宋_GB2312"/>
          <w:sz w:val="32"/>
          <w:szCs w:val="32"/>
        </w:rPr>
        <w:t>元，执行率</w:t>
      </w:r>
      <w:r>
        <w:rPr>
          <w:rFonts w:hint="default" w:eastAsia="仿宋_GB2312"/>
          <w:sz w:val="32"/>
          <w:szCs w:val="32"/>
          <w:lang w:eastAsia="zh-CN"/>
        </w:rPr>
        <w:t>100</w:t>
      </w:r>
      <w:r>
        <w:rPr>
          <w:rFonts w:eastAsia="仿宋_GB2312"/>
          <w:sz w:val="32"/>
          <w:szCs w:val="32"/>
        </w:rPr>
        <w:t>%。通过自评，有</w:t>
      </w:r>
      <w:r>
        <w:rPr>
          <w:rFonts w:hint="default" w:eastAsia="仿宋_GB2312"/>
          <w:sz w:val="32"/>
          <w:szCs w:val="32"/>
        </w:rPr>
        <w:t>6</w:t>
      </w:r>
      <w:r>
        <w:rPr>
          <w:rFonts w:eastAsia="仿宋_GB2312"/>
          <w:sz w:val="32"/>
          <w:szCs w:val="32"/>
        </w:rPr>
        <w:t>个项目结果为“优”。分项目自评情况分析如下：</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default" w:ascii="Times New Roman" w:hAnsi="Times New Roman" w:eastAsia="楷体_GB2312"/>
          <w:sz w:val="32"/>
          <w:szCs w:val="32"/>
        </w:rPr>
      </w:pPr>
      <w:r>
        <w:rPr>
          <w:rFonts w:ascii="Times New Roman" w:hAnsi="Times New Roman" w:eastAsia="楷体_GB2312"/>
          <w:color w:val="000000" w:themeColor="text1"/>
          <w:sz w:val="32"/>
          <w:szCs w:val="32"/>
        </w:rPr>
        <w:t>（一）</w:t>
      </w:r>
      <w:r>
        <w:rPr>
          <w:rFonts w:ascii="Times New Roman" w:hAnsi="Times New Roman" w:eastAsia="楷体_GB2312"/>
          <w:sz w:val="32"/>
          <w:szCs w:val="32"/>
        </w:rPr>
        <w:t>市直机关事业单位中文域名经费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w:t>
      </w:r>
      <w:r>
        <w:rPr>
          <w:rFonts w:hint="eastAsia" w:eastAsia="仿宋_GB2312"/>
          <w:sz w:val="32"/>
          <w:szCs w:val="32"/>
        </w:rPr>
        <w:t>。</w:t>
      </w:r>
      <w:r>
        <w:rPr>
          <w:rFonts w:eastAsia="仿宋_GB2312"/>
          <w:sz w:val="32"/>
          <w:szCs w:val="32"/>
        </w:rPr>
        <w:t>按照中央编办通知规定，申请注册中文域名须缴纳域名注册使用费。收费标准为：行政事业单位每年费用200元/个，202</w:t>
      </w:r>
      <w:r>
        <w:rPr>
          <w:rFonts w:hint="default" w:eastAsia="仿宋_GB2312"/>
          <w:sz w:val="32"/>
          <w:szCs w:val="32"/>
          <w:lang w:eastAsia="zh-CN"/>
        </w:rPr>
        <w:t>3</w:t>
      </w:r>
      <w:r>
        <w:rPr>
          <w:rFonts w:eastAsia="仿宋_GB2312"/>
          <w:sz w:val="32"/>
          <w:szCs w:val="32"/>
        </w:rPr>
        <w:t>年运行中文域名和网站标识的市直行政事业单位</w:t>
      </w:r>
      <w:r>
        <w:rPr>
          <w:rFonts w:hint="default" w:eastAsia="仿宋_GB2312"/>
          <w:sz w:val="32"/>
          <w:szCs w:val="32"/>
        </w:rPr>
        <w:t>45</w:t>
      </w:r>
      <w:r>
        <w:rPr>
          <w:rFonts w:eastAsia="仿宋_GB2312"/>
          <w:sz w:val="32"/>
          <w:szCs w:val="32"/>
        </w:rPr>
        <w:t>个，共计</w:t>
      </w:r>
      <w:r>
        <w:rPr>
          <w:rFonts w:hint="default" w:eastAsia="仿宋_GB2312"/>
          <w:sz w:val="32"/>
          <w:szCs w:val="32"/>
        </w:rPr>
        <w:t>0.9</w:t>
      </w:r>
      <w:r>
        <w:rPr>
          <w:rFonts w:eastAsia="仿宋_GB2312"/>
          <w:sz w:val="32"/>
          <w:szCs w:val="32"/>
        </w:rPr>
        <w:t>万元。由市财政局拨付市直机关事业单位中文域名经费</w:t>
      </w:r>
      <w:r>
        <w:rPr>
          <w:rFonts w:hint="default" w:eastAsia="仿宋_GB2312"/>
          <w:sz w:val="32"/>
          <w:szCs w:val="32"/>
        </w:rPr>
        <w:t>0.9</w:t>
      </w:r>
      <w:r>
        <w:rPr>
          <w:rFonts w:eastAsia="仿宋_GB2312"/>
          <w:sz w:val="32"/>
          <w:szCs w:val="32"/>
        </w:rPr>
        <w:t>万元，截至年底支出</w:t>
      </w:r>
      <w:r>
        <w:rPr>
          <w:rFonts w:hint="default" w:eastAsia="仿宋_GB2312"/>
          <w:sz w:val="32"/>
          <w:szCs w:val="32"/>
        </w:rPr>
        <w:t>0.9</w:t>
      </w:r>
      <w:r>
        <w:rPr>
          <w:rFonts w:eastAsia="仿宋_GB2312"/>
          <w:sz w:val="32"/>
          <w:szCs w:val="32"/>
        </w:rPr>
        <w:t>万元，资金使用率</w:t>
      </w:r>
      <w:r>
        <w:rPr>
          <w:rFonts w:hint="default" w:eastAsia="仿宋_GB2312"/>
          <w:sz w:val="32"/>
          <w:szCs w:val="32"/>
          <w:lang w:eastAsia="zh-CN"/>
        </w:rPr>
        <w:t>100</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总体绩效目标完成情况分析。机关、事业单位注册的中文域名，是机关、事业单位通过互联网平台，履行社会管理职能和提供公共服务的重要标识。通过中文域名维护，一是保障我市202</w:t>
      </w:r>
      <w:r>
        <w:rPr>
          <w:rFonts w:hint="default" w:eastAsia="仿宋_GB2312"/>
          <w:sz w:val="32"/>
          <w:szCs w:val="32"/>
          <w:lang w:eastAsia="zh-CN"/>
        </w:rPr>
        <w:t>3</w:t>
      </w:r>
      <w:r>
        <w:rPr>
          <w:rFonts w:eastAsia="仿宋_GB2312"/>
          <w:sz w:val="32"/>
          <w:szCs w:val="32"/>
        </w:rPr>
        <w:t>年度市直机关事业单位中文域名续费全部完成，各个机关事业单位域名能够正常运行。二是体现履行社会管理职能和提供公共服务的重要标识。</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（2）产出指标分析。市直</w:t>
      </w:r>
      <w:r>
        <w:rPr>
          <w:rFonts w:hint="default" w:eastAsia="仿宋_GB2312"/>
          <w:sz w:val="32"/>
          <w:szCs w:val="32"/>
        </w:rPr>
        <w:t>45</w:t>
      </w:r>
      <w:r>
        <w:rPr>
          <w:rFonts w:eastAsia="仿宋_GB2312"/>
          <w:sz w:val="32"/>
          <w:szCs w:val="32"/>
        </w:rPr>
        <w:t>个行政事业单位中文域名和网站标识正常运行。</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（3）效果指标分析。保障全市中文域名正常运行</w:t>
      </w:r>
      <w:r>
        <w:rPr>
          <w:rFonts w:hint="eastAsia"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（4）影响力指标分析。加强和规范全省机关、事业单位网上名称管理，推动全省“政务”和“公益”域名注册管理工作，实现信息共享。</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（二）电子编制证年度维护费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天水市机构编制电子编制管理证系统现已经建成，技术服务期限为三年，市委编办需按照合同要求每年支付技术服务费5万元。由市财政局拨付电子编制证年度维护费5万元，在合同签订后当年12月</w:t>
      </w:r>
      <w:r>
        <w:rPr>
          <w:rFonts w:hint="eastAsia" w:eastAsia="仿宋_GB2312"/>
          <w:sz w:val="32"/>
          <w:szCs w:val="32"/>
          <w:lang w:val="en-US" w:eastAsia="zh-CN"/>
        </w:rPr>
        <w:t>31</w:t>
      </w:r>
      <w:r>
        <w:rPr>
          <w:rFonts w:eastAsia="仿宋_GB2312"/>
          <w:sz w:val="32"/>
          <w:szCs w:val="32"/>
        </w:rPr>
        <w:t>日前由市委编办一次性支付给技术方。</w:t>
      </w:r>
      <w:r>
        <w:rPr>
          <w:rFonts w:hint="default" w:ascii="Times New Roman" w:hAnsi="Times New Roman" w:eastAsia="仿宋_GB2312" w:cs="Times New Roman"/>
          <w:color w:val="000000"/>
          <w:sz w:val="32"/>
          <w:szCs w:val="32"/>
        </w:rPr>
        <w:t>由市财政本级拨付50000元，截至年底支出50000元，预算执行率100%。</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总体绩效目标完成情况分析。电子编制管理证工作是机构编制实名制管理内容的丰富和延伸，是进一步提高机构编制实名制数据质量、提升机构编制管理水平的一项基础性工作。</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（2）产出指标分析。维护市本级实名制系统，提高机构编制实名制数据质量。</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（3）效果指标分析。使用电子编制管理证，各级机关事业单位可以在计算机终端上填报机构编制业务，查询本单位和所属单位的机构、编制和实有人员信息等。</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（4）影响力指标分析。进一步提高机构编制实名制数据质量、提升机构编制管理水平，机构编制协调部门信息共享。</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（三）机构法人变更经费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w:t>
      </w:r>
      <w:r>
        <w:rPr>
          <w:rFonts w:hint="default" w:eastAsia="仿宋_GB2312"/>
          <w:sz w:val="32"/>
          <w:szCs w:val="32"/>
        </w:rPr>
        <w:t>。全年预算数9.72万元，</w:t>
      </w:r>
      <w:r>
        <w:rPr>
          <w:rFonts w:eastAsia="仿宋_GB2312"/>
          <w:sz w:val="32"/>
          <w:szCs w:val="32"/>
        </w:rPr>
        <w:t>截止</w:t>
      </w:r>
      <w:r>
        <w:rPr>
          <w:rFonts w:hint="default" w:eastAsia="仿宋_GB2312"/>
          <w:sz w:val="32"/>
          <w:szCs w:val="32"/>
        </w:rPr>
        <w:t>2023年</w:t>
      </w:r>
      <w:r>
        <w:rPr>
          <w:rFonts w:eastAsia="仿宋_GB2312"/>
          <w:sz w:val="32"/>
          <w:szCs w:val="32"/>
        </w:rPr>
        <w:t>12月底前，全年执行数为</w:t>
      </w:r>
      <w:r>
        <w:rPr>
          <w:rFonts w:hint="default" w:eastAsia="仿宋_GB2312"/>
          <w:sz w:val="32"/>
          <w:szCs w:val="32"/>
        </w:rPr>
        <w:t>9.72</w:t>
      </w:r>
      <w:r>
        <w:rPr>
          <w:rFonts w:eastAsia="仿宋_GB2312"/>
          <w:sz w:val="32"/>
          <w:szCs w:val="32"/>
        </w:rPr>
        <w:t>万元，预算执行率</w:t>
      </w:r>
      <w:r>
        <w:rPr>
          <w:rFonts w:hint="default" w:eastAsia="仿宋_GB2312"/>
          <w:sz w:val="32"/>
          <w:szCs w:val="32"/>
        </w:rPr>
        <w:t>100</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总体绩效目标完成情况分析。全面完成了绩效目标规定的任务，确保我市事业单位登记管理工作的正常运转。</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（2）产出指标分析。保障天水市事业单位登记管理工作正常开展。</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（3）效果指标分析。严守工作流程，强化事业单位登记管理。事业单位年度公示率100%，对变更登记进行及时公告</w:t>
      </w:r>
      <w:r>
        <w:rPr>
          <w:rFonts w:hint="eastAsia"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（4）影响力指标分析。完成事业单位法人公示信息抽查工作，并在天水市机构编制网站进行公示，主动接受社会监督。</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default" w:ascii="Times New Roman" w:hAnsi="Times New Roman" w:eastAsia="楷体_GB2312"/>
          <w:sz w:val="32"/>
          <w:szCs w:val="32"/>
        </w:rPr>
      </w:pPr>
      <w:r>
        <w:rPr>
          <w:rFonts w:ascii="Times New Roman" w:hAnsi="Times New Roman" w:eastAsia="楷体_GB2312"/>
          <w:sz w:val="32"/>
          <w:szCs w:val="32"/>
        </w:rPr>
        <w:t>（四）物业服务费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w:t>
      </w:r>
      <w:r>
        <w:rPr>
          <w:rFonts w:hint="default" w:eastAsia="仿宋_GB2312"/>
          <w:sz w:val="32"/>
          <w:szCs w:val="32"/>
        </w:rPr>
        <w:t>。全年预算数4万元，</w:t>
      </w:r>
      <w:r>
        <w:rPr>
          <w:rFonts w:eastAsia="仿宋_GB2312"/>
          <w:sz w:val="32"/>
          <w:szCs w:val="32"/>
        </w:rPr>
        <w:t>截止</w:t>
      </w:r>
      <w:r>
        <w:rPr>
          <w:rFonts w:hint="default" w:eastAsia="仿宋_GB2312"/>
          <w:sz w:val="32"/>
          <w:szCs w:val="32"/>
        </w:rPr>
        <w:t>2023年</w:t>
      </w:r>
      <w:r>
        <w:rPr>
          <w:rFonts w:eastAsia="仿宋_GB2312"/>
          <w:sz w:val="32"/>
          <w:szCs w:val="32"/>
        </w:rPr>
        <w:t>12月底前，全年执行数为</w:t>
      </w:r>
      <w:r>
        <w:rPr>
          <w:rFonts w:hint="default" w:eastAsia="仿宋_GB2312"/>
          <w:sz w:val="32"/>
          <w:szCs w:val="32"/>
        </w:rPr>
        <w:t>4</w:t>
      </w:r>
      <w:r>
        <w:rPr>
          <w:rFonts w:eastAsia="仿宋_GB2312"/>
          <w:sz w:val="32"/>
          <w:szCs w:val="32"/>
        </w:rPr>
        <w:t>万元，预算执行率</w:t>
      </w:r>
      <w:r>
        <w:rPr>
          <w:rFonts w:hint="default" w:eastAsia="仿宋_GB2312"/>
          <w:sz w:val="32"/>
          <w:szCs w:val="32"/>
        </w:rPr>
        <w:t>100</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总体绩效目标完成情况分析。全面完成了绩效目标规定的任务，</w:t>
      </w:r>
      <w:r>
        <w:rPr>
          <w:rFonts w:hint="eastAsia" w:eastAsia="仿宋_GB2312"/>
          <w:sz w:val="32"/>
          <w:szCs w:val="32"/>
        </w:rPr>
        <w:t>按照《物业管理服务协议》对物业共用部位、公用设施设备、绿化、环境卫生、安全防范等项目维护、修缮、服务及时。</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（1）投入和管理指标分析。数量与产出指标匹配，单价有标准来源，成本控制在预算内，未超支；财务管理制度健全，预期绩效指标基本实现。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default" w:eastAsia="仿宋_GB2312"/>
          <w:color w:val="auto"/>
          <w:sz w:val="32"/>
          <w:szCs w:val="32"/>
        </w:rPr>
      </w:pPr>
      <w:r>
        <w:rPr>
          <w:rFonts w:eastAsia="仿宋_GB2312"/>
          <w:color w:val="auto"/>
          <w:sz w:val="32"/>
          <w:szCs w:val="32"/>
        </w:rPr>
        <w:t>（2）产出指标分析。做好我办办公楼物业管理和安全保卫工作，确保机关工作正常运转。规范办公用房管理，强化物业服务水平，提升办公区环境品质。</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eastAsia" w:ascii="仿宋_GB2312" w:hAnsi="仿宋_GB2312" w:eastAsia="仿宋_GB2312" w:cs="仿宋_GB2312"/>
          <w:color w:val="auto"/>
          <w:sz w:val="32"/>
          <w:szCs w:val="32"/>
        </w:rPr>
      </w:pPr>
      <w:r>
        <w:rPr>
          <w:rFonts w:eastAsia="仿宋_GB2312"/>
          <w:color w:val="auto"/>
          <w:sz w:val="32"/>
          <w:szCs w:val="32"/>
        </w:rPr>
        <w:t>（3）效果指标分析。</w:t>
      </w:r>
      <w:r>
        <w:rPr>
          <w:rFonts w:hint="eastAsia" w:ascii="仿宋_GB2312" w:hAnsi="仿宋_GB2312" w:eastAsia="仿宋_GB2312" w:cs="仿宋_GB2312"/>
          <w:color w:val="auto"/>
          <w:sz w:val="32"/>
          <w:szCs w:val="32"/>
        </w:rPr>
        <w:t>建筑物日常维修养护实现建筑物本体完好率98％以上、室外场地、道路完好率98％以上；门卫、保洁、绿化人员以日8小时工作并提供日常和节假日加班保障工作时效；保障物业正常运转；在管物业范围内公共设施设备的可持续使用水平持续上升。</w:t>
      </w:r>
    </w:p>
    <w:p>
      <w:pPr>
        <w:keepNext w:val="0"/>
        <w:keepLines w:val="0"/>
        <w:pageBreakBefore w:val="0"/>
        <w:widowControl w:val="0"/>
        <w:kinsoku/>
        <w:wordWrap/>
        <w:overflowPunct/>
        <w:topLinePunct w:val="0"/>
        <w:autoSpaceDE/>
        <w:autoSpaceDN/>
        <w:bidi w:val="0"/>
        <w:snapToGrid w:val="0"/>
        <w:spacing w:line="576" w:lineRule="exact"/>
        <w:ind w:firstLine="596" w:firstLineChars="200"/>
        <w:textAlignment w:val="auto"/>
        <w:rPr>
          <w:rFonts w:eastAsia="仿宋_GB2312"/>
          <w:color w:val="auto"/>
          <w:sz w:val="32"/>
          <w:szCs w:val="32"/>
        </w:rPr>
      </w:pPr>
      <w:r>
        <w:rPr>
          <w:rFonts w:eastAsia="仿宋_GB2312"/>
          <w:color w:val="auto"/>
          <w:spacing w:val="-11"/>
          <w:sz w:val="32"/>
          <w:szCs w:val="32"/>
        </w:rPr>
        <w:t>（4）影响力指标分析。</w:t>
      </w:r>
      <w:r>
        <w:rPr>
          <w:rFonts w:hint="eastAsia" w:ascii="仿宋_GB2312" w:hAnsi="仿宋_GB2312" w:eastAsia="仿宋_GB2312" w:cs="仿宋_GB2312"/>
          <w:color w:val="auto"/>
          <w:spacing w:val="-11"/>
          <w:sz w:val="32"/>
          <w:szCs w:val="32"/>
        </w:rPr>
        <w:t>物业服务满意度调查达到</w:t>
      </w:r>
      <w:r>
        <w:rPr>
          <w:rFonts w:hint="default" w:ascii="仿宋_GB2312" w:hAnsi="仿宋_GB2312" w:eastAsia="仿宋_GB2312" w:cs="仿宋_GB2312"/>
          <w:color w:val="auto"/>
          <w:spacing w:val="-11"/>
          <w:sz w:val="32"/>
          <w:szCs w:val="32"/>
        </w:rPr>
        <w:t>98％</w:t>
      </w:r>
      <w:r>
        <w:rPr>
          <w:rFonts w:hint="eastAsia" w:ascii="仿宋_GB2312" w:hAnsi="仿宋_GB2312" w:eastAsia="仿宋_GB2312" w:cs="仿宋_GB2312"/>
          <w:color w:val="auto"/>
          <w:spacing w:val="-11"/>
          <w:sz w:val="32"/>
          <w:szCs w:val="32"/>
        </w:rPr>
        <w:t>分以上。</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int="default" w:ascii="Times New Roman" w:hAnsi="Times New Roman" w:eastAsia="楷体_GB2312"/>
          <w:sz w:val="32"/>
          <w:szCs w:val="32"/>
        </w:rPr>
      </w:pPr>
      <w:r>
        <w:rPr>
          <w:rFonts w:ascii="Times New Roman" w:hAnsi="Times New Roman" w:eastAsia="楷体_GB2312"/>
          <w:color w:val="000000" w:themeColor="text1"/>
          <w:sz w:val="32"/>
          <w:szCs w:val="32"/>
        </w:rPr>
        <w:t>（五）</w:t>
      </w:r>
      <w:r>
        <w:rPr>
          <w:rFonts w:hint="default" w:ascii="Times New Roman" w:hAnsi="Times New Roman" w:eastAsia="楷体_GB2312"/>
          <w:color w:val="000000" w:themeColor="text1"/>
          <w:sz w:val="32"/>
          <w:szCs w:val="32"/>
        </w:rPr>
        <w:t>2022年</w:t>
      </w:r>
      <w:r>
        <w:rPr>
          <w:rFonts w:ascii="Times New Roman" w:hAnsi="Times New Roman" w:eastAsia="楷体_GB2312"/>
          <w:sz w:val="32"/>
          <w:szCs w:val="32"/>
        </w:rPr>
        <w:t>市直机关事业单位中文域名经费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w:t>
      </w:r>
      <w:r>
        <w:rPr>
          <w:rFonts w:hint="eastAsia" w:eastAsia="仿宋_GB2312"/>
          <w:sz w:val="32"/>
          <w:szCs w:val="32"/>
        </w:rPr>
        <w:t>。</w:t>
      </w:r>
      <w:r>
        <w:rPr>
          <w:rFonts w:eastAsia="仿宋_GB2312"/>
          <w:sz w:val="32"/>
          <w:szCs w:val="32"/>
        </w:rPr>
        <w:t>按照中央编办通知规定，申请注册中文域名须缴纳域名注册使用费。收费标准为：行政事业单位每年费用200元/个，20</w:t>
      </w:r>
      <w:r>
        <w:rPr>
          <w:rFonts w:hint="default" w:eastAsia="仿宋_GB2312"/>
          <w:sz w:val="32"/>
          <w:szCs w:val="32"/>
        </w:rPr>
        <w:t>22</w:t>
      </w:r>
      <w:r>
        <w:rPr>
          <w:rFonts w:eastAsia="仿宋_GB2312"/>
          <w:sz w:val="32"/>
          <w:szCs w:val="32"/>
        </w:rPr>
        <w:t>年运行中文域名和网站标识的市直行政事业单位</w:t>
      </w:r>
      <w:r>
        <w:rPr>
          <w:rFonts w:hint="default" w:eastAsia="仿宋_GB2312"/>
          <w:sz w:val="32"/>
          <w:szCs w:val="32"/>
        </w:rPr>
        <w:t>67</w:t>
      </w:r>
      <w:r>
        <w:rPr>
          <w:rFonts w:eastAsia="仿宋_GB2312"/>
          <w:sz w:val="32"/>
          <w:szCs w:val="32"/>
        </w:rPr>
        <w:t>个，共计</w:t>
      </w:r>
      <w:r>
        <w:rPr>
          <w:rFonts w:hint="default" w:eastAsia="仿宋_GB2312"/>
          <w:sz w:val="32"/>
          <w:szCs w:val="32"/>
        </w:rPr>
        <w:t>1.34</w:t>
      </w:r>
      <w:r>
        <w:rPr>
          <w:rFonts w:eastAsia="仿宋_GB2312"/>
          <w:sz w:val="32"/>
          <w:szCs w:val="32"/>
        </w:rPr>
        <w:t>万元。</w:t>
      </w:r>
      <w:r>
        <w:rPr>
          <w:rFonts w:hint="default" w:eastAsia="仿宋_GB2312"/>
          <w:color w:val="auto"/>
          <w:sz w:val="32"/>
          <w:szCs w:val="32"/>
        </w:rPr>
        <w:t>2</w:t>
      </w:r>
      <w:r>
        <w:rPr>
          <w:rFonts w:hint="default" w:eastAsia="仿宋_GB2312"/>
          <w:color w:val="auto"/>
          <w:sz w:val="32"/>
        </w:rPr>
        <w:t>022年因全市财政紧张，</w:t>
      </w:r>
      <w:r>
        <w:rPr>
          <w:rFonts w:eastAsia="仿宋_GB2312"/>
          <w:color w:val="auto"/>
          <w:sz w:val="32"/>
          <w:szCs w:val="32"/>
        </w:rPr>
        <w:t>此项目经费未完成支付，</w:t>
      </w:r>
      <w:r>
        <w:rPr>
          <w:rFonts w:hint="default" w:eastAsia="仿宋_GB2312"/>
          <w:color w:val="auto"/>
          <w:sz w:val="32"/>
          <w:szCs w:val="32"/>
        </w:rPr>
        <w:t>2023年度</w:t>
      </w:r>
      <w:r>
        <w:rPr>
          <w:rFonts w:eastAsia="仿宋_GB2312"/>
          <w:color w:val="auto"/>
          <w:sz w:val="32"/>
          <w:szCs w:val="32"/>
        </w:rPr>
        <w:t>由市财政局拨付市直机关事业单位中文域名经费</w:t>
      </w:r>
      <w:r>
        <w:rPr>
          <w:rFonts w:hint="default" w:eastAsia="仿宋_GB2312"/>
          <w:color w:val="auto"/>
          <w:sz w:val="32"/>
          <w:szCs w:val="32"/>
        </w:rPr>
        <w:t>1.34</w:t>
      </w:r>
      <w:r>
        <w:rPr>
          <w:rFonts w:eastAsia="仿宋_GB2312"/>
          <w:color w:val="auto"/>
          <w:sz w:val="32"/>
          <w:szCs w:val="32"/>
        </w:rPr>
        <w:t>万元，截至年底</w:t>
      </w:r>
      <w:r>
        <w:rPr>
          <w:rFonts w:eastAsia="仿宋_GB2312"/>
          <w:sz w:val="32"/>
          <w:szCs w:val="32"/>
        </w:rPr>
        <w:t>支出</w:t>
      </w:r>
      <w:r>
        <w:rPr>
          <w:rFonts w:hint="default" w:eastAsia="仿宋_GB2312"/>
          <w:sz w:val="32"/>
          <w:szCs w:val="32"/>
        </w:rPr>
        <w:t>1.34</w:t>
      </w:r>
      <w:r>
        <w:rPr>
          <w:rFonts w:eastAsia="仿宋_GB2312"/>
          <w:sz w:val="32"/>
          <w:szCs w:val="32"/>
        </w:rPr>
        <w:t>万元，资金使用率</w:t>
      </w:r>
      <w:r>
        <w:rPr>
          <w:rFonts w:hint="default" w:eastAsia="仿宋_GB2312"/>
          <w:sz w:val="32"/>
          <w:szCs w:val="32"/>
          <w:lang w:eastAsia="zh-CN"/>
        </w:rPr>
        <w:t>100</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总体绩效目标完成情况分析。机关、事业单位注册的中文域名，是机关、事业单位通过互联网平台，履行社会管理职能和提供公共服务的重要标识。通过中文域名维护，一是保障我市202</w:t>
      </w:r>
      <w:r>
        <w:rPr>
          <w:rFonts w:hint="default" w:eastAsia="仿宋_GB2312"/>
          <w:sz w:val="32"/>
          <w:szCs w:val="32"/>
          <w:lang w:eastAsia="zh-CN"/>
        </w:rPr>
        <w:t>2</w:t>
      </w:r>
      <w:r>
        <w:rPr>
          <w:rFonts w:eastAsia="仿宋_GB2312"/>
          <w:sz w:val="32"/>
          <w:szCs w:val="32"/>
        </w:rPr>
        <w:t>年度市直机关事业单位中文域名续费全部完成，各个机关事业单位域名能够正常运行。二是体现履行社会管理职能和提供公共服务的重要标识。</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（2）产出指标分析。市直</w:t>
      </w:r>
      <w:r>
        <w:rPr>
          <w:rFonts w:hint="default" w:eastAsia="仿宋_GB2312"/>
          <w:sz w:val="32"/>
          <w:szCs w:val="32"/>
        </w:rPr>
        <w:t>67</w:t>
      </w:r>
      <w:r>
        <w:rPr>
          <w:rFonts w:eastAsia="仿宋_GB2312"/>
          <w:sz w:val="32"/>
          <w:szCs w:val="32"/>
        </w:rPr>
        <w:t>个行政事业单位中文域名和网站标识正常运行。</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（3）效果指标分析。保障全市中文域名正常运行</w:t>
      </w:r>
      <w:r>
        <w:rPr>
          <w:rFonts w:hint="eastAsia" w:eastAsia="仿宋_GB2312"/>
          <w:sz w:val="32"/>
          <w:szCs w:val="32"/>
        </w:rPr>
        <w:t>。</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（4）影响力指标分析。加强和规范全省机关、事业单位网上名称管理，推动全省“政务”和“公益”域名注册管理工作，实现信息共享。</w:t>
      </w:r>
    </w:p>
    <w:p>
      <w:pPr>
        <w:pStyle w:val="2"/>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ascii="Times New Roman" w:hAnsi="Times New Roman" w:eastAsia="楷体_GB2312"/>
          <w:sz w:val="32"/>
          <w:szCs w:val="32"/>
        </w:rPr>
      </w:pPr>
      <w:r>
        <w:rPr>
          <w:rFonts w:ascii="Times New Roman" w:hAnsi="Times New Roman" w:eastAsia="楷体_GB2312"/>
          <w:sz w:val="32"/>
          <w:szCs w:val="32"/>
        </w:rPr>
        <w:t>（六）</w:t>
      </w:r>
      <w:r>
        <w:rPr>
          <w:rFonts w:hint="default" w:ascii="Times New Roman" w:hAnsi="Times New Roman" w:eastAsia="楷体_GB2312"/>
          <w:sz w:val="32"/>
          <w:szCs w:val="32"/>
        </w:rPr>
        <w:t>2022年</w:t>
      </w:r>
      <w:r>
        <w:rPr>
          <w:rFonts w:ascii="Times New Roman" w:hAnsi="Times New Roman" w:eastAsia="楷体_GB2312"/>
          <w:sz w:val="32"/>
          <w:szCs w:val="32"/>
        </w:rPr>
        <w:t>电子编制证年度维护费</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 项目支出预算执行情况。天水市机构编制电子编制管理证系统现已经建成，技术服务期限为三年，市委编办需按照合同要求每年支付技术服务费5万元。</w:t>
      </w:r>
      <w:r>
        <w:rPr>
          <w:rFonts w:hint="default" w:eastAsia="仿宋_GB2312"/>
          <w:color w:val="auto"/>
          <w:sz w:val="32"/>
          <w:szCs w:val="32"/>
        </w:rPr>
        <w:t>2</w:t>
      </w:r>
      <w:r>
        <w:rPr>
          <w:rFonts w:hint="default" w:eastAsia="仿宋_GB2312"/>
          <w:color w:val="auto"/>
          <w:sz w:val="32"/>
        </w:rPr>
        <w:t>022年因全市财政紧张，</w:t>
      </w:r>
      <w:r>
        <w:rPr>
          <w:rFonts w:eastAsia="仿宋_GB2312"/>
          <w:color w:val="auto"/>
          <w:sz w:val="32"/>
          <w:szCs w:val="32"/>
        </w:rPr>
        <w:t>此项目经费未完成支付，</w:t>
      </w:r>
      <w:r>
        <w:rPr>
          <w:rFonts w:hint="default" w:eastAsia="仿宋_GB2312"/>
          <w:color w:val="auto"/>
          <w:sz w:val="32"/>
          <w:szCs w:val="32"/>
        </w:rPr>
        <w:t>2023年</w:t>
      </w:r>
      <w:r>
        <w:rPr>
          <w:rFonts w:eastAsia="仿宋_GB2312"/>
          <w:color w:val="auto"/>
          <w:sz w:val="32"/>
          <w:szCs w:val="32"/>
        </w:rPr>
        <w:t>由市财政局拨付</w:t>
      </w:r>
      <w:r>
        <w:rPr>
          <w:rFonts w:hint="default" w:eastAsia="仿宋_GB2312"/>
          <w:color w:val="auto"/>
          <w:sz w:val="32"/>
          <w:szCs w:val="32"/>
        </w:rPr>
        <w:t>2022年</w:t>
      </w:r>
      <w:r>
        <w:rPr>
          <w:rFonts w:eastAsia="仿宋_GB2312"/>
          <w:color w:val="auto"/>
          <w:sz w:val="32"/>
          <w:szCs w:val="32"/>
        </w:rPr>
        <w:t>电子编制证年度维护费5万元，</w:t>
      </w:r>
      <w:r>
        <w:rPr>
          <w:rFonts w:eastAsia="仿宋_GB2312"/>
          <w:sz w:val="32"/>
          <w:szCs w:val="32"/>
        </w:rPr>
        <w:t>由市委编办一次性支付给技术方。</w:t>
      </w:r>
      <w:r>
        <w:rPr>
          <w:rFonts w:hint="default" w:ascii="Times New Roman" w:hAnsi="Times New Roman" w:eastAsia="仿宋_GB2312" w:cs="Times New Roman"/>
          <w:color w:val="000000"/>
          <w:sz w:val="32"/>
          <w:szCs w:val="32"/>
        </w:rPr>
        <w:t>截至年底支出5</w:t>
      </w:r>
      <w:r>
        <w:rPr>
          <w:rFonts w:hint="default" w:eastAsia="仿宋_GB2312" w:cs="Times New Roman"/>
          <w:color w:val="000000"/>
          <w:sz w:val="32"/>
          <w:szCs w:val="32"/>
        </w:rPr>
        <w:t>万</w:t>
      </w:r>
      <w:r>
        <w:rPr>
          <w:rFonts w:hint="default" w:ascii="Times New Roman" w:hAnsi="Times New Roman" w:eastAsia="仿宋_GB2312" w:cs="Times New Roman"/>
          <w:color w:val="000000"/>
          <w:sz w:val="32"/>
          <w:szCs w:val="32"/>
        </w:rPr>
        <w:t>元，预算执行率100%。</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 总体绩效目标完成情况分析。电子编制管理证工作是机构编制实名制管理内容的丰富和延伸，是进一步提高机构编制实名制数据质量、提升机构编制管理水平的一项基础性工作。</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 各项指标完成情况分析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（1）投入和管理指标分析。数量与产出指标匹配，单价有标准来源，财务管理制度健全，预期绩效指标基本实现。</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（2）产出指标分析。维护市本级实名制系统，提高机构编制实名制数据质量。</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（3）效果指标分析。使用电子编制管理证，各级机关事业单位可以在计算机终端上填报机构编制业务，查询本单位和所属单位的机构、编制和实有人员信息等。</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（4）影响力指标分析。进一步提高机构编制实名制数据质量、提升机构编制管理水平，机构编制协调部门信息共享。</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Ansi="黑体" w:eastAsia="黑体"/>
          <w:sz w:val="32"/>
          <w:szCs w:val="32"/>
        </w:rPr>
      </w:pPr>
      <w:r>
        <w:rPr>
          <w:rFonts w:hint="eastAsia" w:hAnsi="黑体" w:eastAsia="黑体"/>
          <w:sz w:val="32"/>
          <w:szCs w:val="32"/>
        </w:rPr>
        <w:t>五、部门管理的市对县区转移支付绩效自评情况分析</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hAnsi="黑体" w:eastAsia="黑体"/>
          <w:sz w:val="32"/>
          <w:szCs w:val="32"/>
        </w:rPr>
      </w:pPr>
      <w:r>
        <w:rPr>
          <w:rFonts w:hint="eastAsia" w:eastAsia="仿宋_GB2312"/>
          <w:sz w:val="32"/>
          <w:szCs w:val="32"/>
        </w:rPr>
        <w:t>202</w:t>
      </w:r>
      <w:r>
        <w:rPr>
          <w:rFonts w:hint="default" w:eastAsia="仿宋_GB2312"/>
          <w:sz w:val="32"/>
          <w:szCs w:val="32"/>
          <w:lang w:eastAsia="zh-CN"/>
        </w:rPr>
        <w:t>3</w:t>
      </w:r>
      <w:r>
        <w:rPr>
          <w:rFonts w:hint="eastAsia" w:eastAsia="仿宋_GB2312"/>
          <w:sz w:val="32"/>
          <w:szCs w:val="32"/>
        </w:rPr>
        <w:t>年，</w:t>
      </w:r>
      <w:r>
        <w:rPr>
          <w:rFonts w:hint="eastAsia" w:eastAsia="仿宋_GB2312"/>
          <w:sz w:val="32"/>
          <w:szCs w:val="32"/>
          <w:lang w:eastAsia="zh-CN"/>
        </w:rPr>
        <w:t>我</w:t>
      </w:r>
      <w:r>
        <w:rPr>
          <w:rFonts w:hint="eastAsia" w:eastAsia="仿宋_GB2312"/>
          <w:sz w:val="32"/>
          <w:szCs w:val="32"/>
        </w:rPr>
        <w:t>办没有对县区转移支付项目。</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黑体"/>
          <w:sz w:val="32"/>
          <w:szCs w:val="32"/>
        </w:rPr>
      </w:pPr>
      <w:r>
        <w:rPr>
          <w:rFonts w:hint="eastAsia" w:hAnsi="黑体" w:eastAsia="黑体"/>
          <w:sz w:val="32"/>
          <w:szCs w:val="32"/>
        </w:rPr>
        <w:t>六</w:t>
      </w:r>
      <w:r>
        <w:rPr>
          <w:rFonts w:hAnsi="黑体" w:eastAsia="黑体"/>
          <w:sz w:val="32"/>
          <w:szCs w:val="32"/>
        </w:rPr>
        <w:t>、绩效自评结果拟应用和公开情况</w:t>
      </w:r>
    </w:p>
    <w:p>
      <w:pPr>
        <w:keepNext w:val="0"/>
        <w:keepLines w:val="0"/>
        <w:pageBreakBefore w:val="0"/>
        <w:widowControl w:val="0"/>
        <w:kinsoku/>
        <w:wordWrap/>
        <w:overflowPunct/>
        <w:topLinePunct w:val="0"/>
        <w:autoSpaceDE/>
        <w:autoSpaceDN/>
        <w:bidi w:val="0"/>
        <w:snapToGrid w:val="0"/>
        <w:spacing w:line="576" w:lineRule="exact"/>
        <w:ind w:firstLine="640" w:firstLineChars="200"/>
        <w:textAlignment w:val="auto"/>
        <w:rPr>
          <w:rFonts w:eastAsia="仿宋_GB2312"/>
          <w:sz w:val="32"/>
          <w:szCs w:val="32"/>
        </w:rPr>
      </w:pPr>
      <w:r>
        <w:rPr>
          <w:rFonts w:eastAsia="仿宋_GB2312"/>
          <w:sz w:val="32"/>
          <w:szCs w:val="32"/>
        </w:rPr>
        <w:t>项目绩效自评和部门整体支出绩效自评结果将在本单位门户网站公开。</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黑体"/>
          <w:sz w:val="32"/>
          <w:szCs w:val="32"/>
        </w:rPr>
      </w:pPr>
      <w:r>
        <w:rPr>
          <w:rFonts w:hint="eastAsia" w:hAnsi="黑体" w:eastAsia="黑体"/>
          <w:sz w:val="32"/>
          <w:szCs w:val="32"/>
        </w:rPr>
        <w:t>七</w:t>
      </w:r>
      <w:r>
        <w:rPr>
          <w:rFonts w:hAnsi="黑体" w:eastAsia="黑体"/>
          <w:sz w:val="32"/>
          <w:szCs w:val="32"/>
        </w:rPr>
        <w:t>、其他需要说明的问题</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仿宋_GB2312"/>
          <w:sz w:val="32"/>
          <w:szCs w:val="32"/>
        </w:rPr>
      </w:pPr>
      <w:r>
        <w:rPr>
          <w:rFonts w:eastAsia="仿宋_GB2312"/>
          <w:sz w:val="32"/>
          <w:szCs w:val="32"/>
        </w:rPr>
        <w:t>无。</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仿宋_GB2312"/>
          <w:sz w:val="32"/>
          <w:szCs w:val="32"/>
        </w:rPr>
      </w:pP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eastAsia="仿宋_GB2312"/>
          <w:sz w:val="32"/>
          <w:szCs w:val="32"/>
        </w:rPr>
      </w:pPr>
      <w:r>
        <w:rPr>
          <w:rFonts w:hint="default" w:eastAsia="仿宋_GB2312"/>
          <w:sz w:val="32"/>
          <w:szCs w:val="32"/>
        </w:rPr>
        <w:t xml:space="preserve">                   </w:t>
      </w:r>
      <w:r>
        <w:rPr>
          <w:rFonts w:eastAsia="仿宋_GB2312"/>
          <w:sz w:val="32"/>
          <w:szCs w:val="32"/>
        </w:rPr>
        <w:t>中共天水市委机构编制委员会办公室</w:t>
      </w:r>
    </w:p>
    <w:p>
      <w:pPr>
        <w:keepNext w:val="0"/>
        <w:keepLines w:val="0"/>
        <w:pageBreakBefore w:val="0"/>
        <w:widowControl w:val="0"/>
        <w:kinsoku/>
        <w:wordWrap/>
        <w:overflowPunct/>
        <w:topLinePunct w:val="0"/>
        <w:autoSpaceDE/>
        <w:autoSpaceDN/>
        <w:bidi w:val="0"/>
        <w:adjustRightInd/>
        <w:snapToGrid w:val="0"/>
        <w:spacing w:line="576" w:lineRule="exact"/>
        <w:ind w:firstLine="640" w:firstLineChars="200"/>
        <w:textAlignment w:val="auto"/>
        <w:rPr>
          <w:rFonts w:hint="default" w:eastAsia="仿宋_GB2312"/>
          <w:sz w:val="32"/>
          <w:szCs w:val="32"/>
        </w:rPr>
      </w:pPr>
      <w:r>
        <w:rPr>
          <w:rFonts w:hint="default" w:eastAsia="仿宋_GB2312"/>
          <w:sz w:val="32"/>
          <w:szCs w:val="32"/>
        </w:rPr>
        <w:t xml:space="preserve">                         2024年4月1日</w:t>
      </w:r>
    </w:p>
    <w:sectPr>
      <w:footerReference r:id="rId3" w:type="default"/>
      <w:footerReference r:id="rId4" w:type="even"/>
      <w:pgSz w:w="11906" w:h="16838"/>
      <w:pgMar w:top="2098" w:right="1531" w:bottom="1985"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803050406030204"/>
    <w:charset w:val="00"/>
    <w:family w:val="auto"/>
    <w:pitch w:val="default"/>
    <w:sig w:usb0="E00002FF" w:usb1="4000045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080" w:h="314" w:hRule="exact" w:wrap="around" w:vAnchor="text" w:hAnchor="page" w:x="9291" w:y="-808"/>
      <w:jc w:val="right"/>
      <w:rPr>
        <w:rStyle w:val="12"/>
        <w:sz w:val="28"/>
        <w:szCs w:val="28"/>
      </w:rPr>
    </w:pPr>
    <w:r>
      <w:rPr>
        <w:rStyle w:val="12"/>
        <w:rFonts w:hint="eastAsia" w:ascii="宋体" w:hAnsi="宋体"/>
        <w:sz w:val="28"/>
        <w:szCs w:val="28"/>
      </w:rPr>
      <w:t xml:space="preserve">— </w:t>
    </w:r>
    <w:r>
      <w:rPr>
        <w:rFonts w:hint="eastAsia"/>
        <w:sz w:val="28"/>
        <w:szCs w:val="28"/>
      </w:rPr>
      <w:fldChar w:fldCharType="begin"/>
    </w:r>
    <w:r>
      <w:rPr>
        <w:rStyle w:val="12"/>
        <w:rFonts w:hint="eastAsia"/>
        <w:sz w:val="28"/>
        <w:szCs w:val="28"/>
      </w:rPr>
      <w:instrText xml:space="preserve">PAGE  </w:instrText>
    </w:r>
    <w:r>
      <w:rPr>
        <w:rFonts w:hint="eastAsia"/>
        <w:sz w:val="28"/>
        <w:szCs w:val="28"/>
      </w:rPr>
      <w:fldChar w:fldCharType="separate"/>
    </w:r>
    <w:r>
      <w:rPr>
        <w:rStyle w:val="12"/>
        <w:sz w:val="28"/>
        <w:szCs w:val="28"/>
      </w:rPr>
      <w:t>7</w:t>
    </w:r>
    <w:r>
      <w:rPr>
        <w:rFonts w:hint="eastAsia"/>
        <w:sz w:val="28"/>
        <w:szCs w:val="28"/>
      </w:rPr>
      <w:fldChar w:fldCharType="end"/>
    </w:r>
    <w:r>
      <w:rPr>
        <w:rStyle w:val="12"/>
        <w:rFonts w:hint="eastAsia" w:ascii="宋体" w:hAnsi="宋体"/>
        <w:sz w:val="28"/>
        <w:szCs w:val="28"/>
      </w:rPr>
      <w:t xml:space="preserve"> —</w:t>
    </w:r>
  </w:p>
  <w:p>
    <w:pPr>
      <w:spacing w:line="14" w:lineRule="auto"/>
      <w:ind w:right="360" w:firstLine="360"/>
      <w:rPr>
        <w:sz w:val="20"/>
        <w:szCs w:val="20"/>
      </w:rPr>
    </w:pPr>
    <w:r>
      <w:rPr>
        <w:rFonts w:ascii="Times New Roman" w:hAnsi="Times New Roman" w:eastAsia="宋体" w:cs="Times New Roman"/>
        <w:kern w:val="2"/>
        <w:sz w:val="21"/>
        <w:szCs w:val="24"/>
        <w:lang w:val="en-US" w:eastAsia="zh-CN" w:bidi="ar-SA"/>
      </w:rPr>
      <w:pict>
        <v:rect id="_x0000_s4097" o:spid="_x0000_s4097" o:spt="1" style="position:absolute;left:0pt;margin-left:291.65pt;margin-top:805.8pt;height:10pt;width:12pt;mso-position-horizontal-relative:page;mso-position-vertical-relative:pag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w:txbxContent>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1080" w:h="314" w:hRule="exact" w:wrap="around" w:vAnchor="text" w:hAnchor="page" w:x="1536" w:y="-610"/>
      <w:jc w:val="both"/>
      <w:rPr>
        <w:rStyle w:val="12"/>
        <w:sz w:val="28"/>
        <w:szCs w:val="28"/>
      </w:rPr>
    </w:pPr>
    <w:r>
      <w:rPr>
        <w:rStyle w:val="12"/>
        <w:rFonts w:hint="eastAsia" w:ascii="宋体" w:hAnsi="宋体"/>
        <w:sz w:val="28"/>
        <w:szCs w:val="28"/>
      </w:rPr>
      <w:t xml:space="preserve">— </w:t>
    </w:r>
    <w:r>
      <w:rPr>
        <w:rFonts w:hint="eastAsia"/>
        <w:sz w:val="28"/>
        <w:szCs w:val="28"/>
      </w:rPr>
      <w:fldChar w:fldCharType="begin"/>
    </w:r>
    <w:r>
      <w:rPr>
        <w:rStyle w:val="12"/>
        <w:rFonts w:hint="eastAsia"/>
        <w:sz w:val="28"/>
        <w:szCs w:val="28"/>
      </w:rPr>
      <w:instrText xml:space="preserve">PAGE  </w:instrText>
    </w:r>
    <w:r>
      <w:rPr>
        <w:rFonts w:hint="eastAsia"/>
        <w:sz w:val="28"/>
        <w:szCs w:val="28"/>
      </w:rPr>
      <w:fldChar w:fldCharType="separate"/>
    </w:r>
    <w:r>
      <w:rPr>
        <w:rStyle w:val="12"/>
        <w:sz w:val="28"/>
        <w:szCs w:val="28"/>
      </w:rPr>
      <w:t>6</w:t>
    </w:r>
    <w:r>
      <w:rPr>
        <w:rFonts w:hint="eastAsia"/>
        <w:sz w:val="28"/>
        <w:szCs w:val="28"/>
      </w:rPr>
      <w:fldChar w:fldCharType="end"/>
    </w:r>
    <w:r>
      <w:rPr>
        <w:rStyle w:val="12"/>
        <w:rFonts w:hint="eastAsia" w:ascii="宋体" w:hAnsi="宋体"/>
        <w:sz w:val="28"/>
        <w:szCs w:val="28"/>
      </w:rPr>
      <w:t xml:space="preserve"> —</w: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4594C8"/>
    <w:multiLevelType w:val="singleLevel"/>
    <w:tmpl w:val="B04594C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FDFEDC5"/>
    <w:rsid w:val="2BF4D487"/>
    <w:rsid w:val="59FFB938"/>
    <w:rsid w:val="67DCC595"/>
    <w:rsid w:val="67F5D30A"/>
    <w:rsid w:val="6B3F61C5"/>
    <w:rsid w:val="6B4F7060"/>
    <w:rsid w:val="6D5BF159"/>
    <w:rsid w:val="77FDCD82"/>
    <w:rsid w:val="B79FF124"/>
    <w:rsid w:val="BEFD5982"/>
    <w:rsid w:val="CDF15686"/>
    <w:rsid w:val="DAF5013D"/>
    <w:rsid w:val="EFEEF607"/>
    <w:rsid w:val="F3E15C66"/>
    <w:rsid w:val="F633D883"/>
    <w:rsid w:val="FBB65766"/>
    <w:rsid w:val="FDDD13BE"/>
    <w:rsid w:val="FE5ED41D"/>
    <w:rsid w:val="FEEE50BD"/>
    <w:rsid w:val="FFDDF4A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caption"/>
    <w:basedOn w:val="1"/>
    <w:next w:val="1"/>
    <w:qFormat/>
    <w:uiPriority w:val="0"/>
    <w:rPr>
      <w:rFonts w:ascii="Cambria" w:hAnsi="Cambria" w:eastAsia="黑体"/>
      <w:sz w:val="20"/>
    </w:rPr>
  </w:style>
  <w:style w:type="paragraph" w:styleId="3">
    <w:name w:val="footer"/>
    <w:basedOn w:val="1"/>
    <w:link w:val="8"/>
    <w:qFormat/>
    <w:uiPriority w:val="0"/>
    <w:pPr>
      <w:tabs>
        <w:tab w:val="center" w:pos="4153"/>
        <w:tab w:val="right" w:pos="8306"/>
      </w:tabs>
      <w:snapToGrid w:val="0"/>
      <w:jc w:val="left"/>
    </w:pPr>
    <w:rPr>
      <w:rFonts w:cs="Times New Roman"/>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rFonts w:cs="Times New Roman"/>
      <w:sz w:val="18"/>
      <w:szCs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customStyle="1" w:styleId="8">
    <w:name w:val="页脚 Char"/>
    <w:basedOn w:val="7"/>
    <w:link w:val="3"/>
    <w:semiHidden/>
    <w:qFormat/>
    <w:uiPriority w:val="0"/>
    <w:rPr>
      <w:rFonts w:cs="Times New Roman"/>
      <w:sz w:val="18"/>
      <w:szCs w:val="18"/>
    </w:rPr>
  </w:style>
  <w:style w:type="character" w:customStyle="1" w:styleId="9">
    <w:name w:val="页眉 Char"/>
    <w:basedOn w:val="7"/>
    <w:link w:val="4"/>
    <w:semiHidden/>
    <w:qFormat/>
    <w:uiPriority w:val="0"/>
    <w:rPr>
      <w:rFonts w:cs="Times New Roman"/>
      <w:sz w:val="18"/>
      <w:szCs w:val="18"/>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11">
    <w:name w:val="页码1"/>
    <w:basedOn w:val="7"/>
    <w:qFormat/>
    <w:uiPriority w:val="0"/>
    <w:rPr>
      <w:rFonts w:cs="Times New Roman"/>
    </w:rPr>
  </w:style>
  <w:style w:type="character" w:customStyle="1" w:styleId="12">
    <w:name w:val="页码2"/>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511</Words>
  <Characters>2916</Characters>
  <Lines>24</Lines>
  <Paragraphs>6</Paragraphs>
  <TotalTime>8</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2019-11-02T08:07:00Z</dcterms:created>
  <dc:creator>jng</dc:creator>
  <cp:lastModifiedBy>swbb</cp:lastModifiedBy>
  <cp:lastPrinted>2023-04-24T02:56:00Z</cp:lastPrinted>
  <dcterms:modified xsi:type="dcterms:W3CDTF">2024-08-09T18:14:44Z</dcterms:modified>
  <dc:title>Lenovo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